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E40A">
      <w:pPr>
        <w:pStyle w:val="9"/>
        <w:spacing w:line="451" w:lineRule="auto"/>
        <w:ind w:left="2079" w:right="2083"/>
      </w:pPr>
      <w:r>
        <w:t>Gujarat</w:t>
      </w:r>
      <w:r>
        <w:rPr>
          <w:spacing w:val="-13"/>
        </w:rPr>
        <w:t xml:space="preserve"> </w:t>
      </w:r>
      <w:r>
        <w:t>Institute</w:t>
      </w:r>
      <w:r>
        <w:rPr>
          <w:spacing w:val="-10"/>
        </w:rPr>
        <w:t xml:space="preserve"> </w:t>
      </w:r>
      <w:r>
        <w:t>of</w:t>
      </w:r>
      <w:r>
        <w:rPr>
          <w:spacing w:val="-10"/>
        </w:rPr>
        <w:t xml:space="preserve"> </w:t>
      </w:r>
      <w:r>
        <w:t>Development</w:t>
      </w:r>
      <w:r>
        <w:rPr>
          <w:spacing w:val="-7"/>
        </w:rPr>
        <w:t xml:space="preserve"> </w:t>
      </w:r>
      <w:r>
        <w:t>Research Gota, Ahmedabad 380060</w:t>
      </w:r>
    </w:p>
    <w:p w14:paraId="5F185269">
      <w:pPr>
        <w:pStyle w:val="9"/>
        <w:spacing w:before="270"/>
      </w:pPr>
      <w:r>
        <w:t>ANNOUNCEMENT FOR</w:t>
      </w:r>
      <w:r>
        <w:rPr>
          <w:spacing w:val="-1"/>
        </w:rPr>
        <w:t xml:space="preserve"> </w:t>
      </w:r>
      <w:r>
        <w:t>RECRUITMENT</w:t>
      </w:r>
      <w:r>
        <w:rPr>
          <w:spacing w:val="-2"/>
        </w:rPr>
        <w:t xml:space="preserve"> </w:t>
      </w:r>
      <w:r>
        <w:t>OF</w:t>
      </w:r>
      <w:r>
        <w:rPr>
          <w:spacing w:val="-2"/>
        </w:rPr>
        <w:t xml:space="preserve"> </w:t>
      </w:r>
      <w:r>
        <w:t>PROFESSOR</w:t>
      </w:r>
      <w:r>
        <w:rPr>
          <w:spacing w:val="-1"/>
        </w:rPr>
        <w:t xml:space="preserve"> </w:t>
      </w:r>
      <w:r>
        <w:t xml:space="preserve">AND </w:t>
      </w:r>
      <w:r>
        <w:rPr>
          <w:spacing w:val="-2"/>
        </w:rPr>
        <w:t>DIRECTOR</w:t>
      </w:r>
    </w:p>
    <w:p w14:paraId="431E6CDF">
      <w:pPr>
        <w:pStyle w:val="5"/>
        <w:spacing w:before="271"/>
        <w:ind w:right="20"/>
        <w:jc w:val="both"/>
      </w:pPr>
      <w:r>
        <w:rPr>
          <w:b/>
        </w:rPr>
        <w:t xml:space="preserve">Gujarat Institute of Development Research </w:t>
      </w:r>
      <w:r>
        <w:t xml:space="preserve">(GIDR) is an autonomous social science research institute (visit website </w:t>
      </w:r>
      <w:r>
        <w:fldChar w:fldCharType="begin"/>
      </w:r>
      <w:r>
        <w:instrText xml:space="preserve"> HYPERLINK "http://www.gidr.ac.in/" \h </w:instrText>
      </w:r>
      <w:r>
        <w:fldChar w:fldCharType="separate"/>
      </w:r>
      <w:r>
        <w:rPr>
          <w:color w:val="0562C1"/>
          <w:u w:val="single" w:color="0562C1"/>
        </w:rPr>
        <w:t>www.gidr.ac.in</w:t>
      </w:r>
      <w:r>
        <w:rPr>
          <w:color w:val="0562C1"/>
          <w:u w:val="single" w:color="0562C1"/>
        </w:rPr>
        <w:fldChar w:fldCharType="end"/>
      </w:r>
      <w:r>
        <w:rPr>
          <w:color w:val="0562C1"/>
        </w:rPr>
        <w:t xml:space="preserve"> </w:t>
      </w:r>
      <w:r>
        <w:t xml:space="preserve">for details). It is partially supported by the Indian Council of Social Science Research (ICSSR), New Delhi and the Government of </w:t>
      </w:r>
      <w:r>
        <w:rPr>
          <w:spacing w:val="-2"/>
        </w:rPr>
        <w:t>Gujarat.</w:t>
      </w:r>
    </w:p>
    <w:p w14:paraId="014381FB">
      <w:pPr>
        <w:pStyle w:val="5"/>
        <w:ind w:left="0"/>
      </w:pPr>
    </w:p>
    <w:p w14:paraId="15DE1AEE">
      <w:pPr>
        <w:pStyle w:val="5"/>
        <w:spacing w:before="1"/>
        <w:ind w:right="20"/>
        <w:jc w:val="both"/>
      </w:pPr>
      <w:r>
        <w:rPr>
          <w:b/>
        </w:rPr>
        <w:t>Eligibility</w:t>
      </w:r>
      <w:r>
        <w:t xml:space="preserve">: Candidates should have a good academic background, a Ph.D. in Economics, Development Studies, or in any social science, and with proven research ability. Publications/papers as per the UGC norms are essential. The applicant must have a minimum of five years of experience as a Professor with considerable research and administrative experience, capable of providing academic leadership, and ability to raise funds for research. The applicant should not be more than 60 years of age at the time of application. </w:t>
      </w:r>
    </w:p>
    <w:p w14:paraId="04BBDE67">
      <w:pPr>
        <w:pStyle w:val="5"/>
        <w:spacing w:before="276"/>
        <w:ind w:right="20"/>
        <w:jc w:val="both"/>
      </w:pPr>
      <w:r>
        <w:rPr>
          <w:b/>
        </w:rPr>
        <w:t>Job Profile</w:t>
      </w:r>
      <w:r>
        <w:t>: The Director of GIDR will be the academic and administrative head of the Institution. She/he will administer the Institute under the guidance of the Governing Body of the Institute.</w:t>
      </w:r>
    </w:p>
    <w:p w14:paraId="364FCE67">
      <w:pPr>
        <w:pStyle w:val="5"/>
        <w:ind w:left="0"/>
      </w:pPr>
    </w:p>
    <w:p w14:paraId="2EAE115C">
      <w:pPr>
        <w:pStyle w:val="5"/>
        <w:ind w:right="14"/>
        <w:jc w:val="both"/>
      </w:pPr>
      <w:r>
        <w:rPr>
          <w:b/>
        </w:rPr>
        <w:t>Term</w:t>
      </w:r>
      <w:r>
        <w:rPr>
          <w:b/>
          <w:spacing w:val="-15"/>
        </w:rPr>
        <w:t xml:space="preserve"> </w:t>
      </w:r>
      <w:r>
        <w:rPr>
          <w:b/>
        </w:rPr>
        <w:t>of</w:t>
      </w:r>
      <w:r>
        <w:rPr>
          <w:b/>
          <w:spacing w:val="-15"/>
        </w:rPr>
        <w:t xml:space="preserve"> </w:t>
      </w:r>
      <w:r>
        <w:rPr>
          <w:b/>
        </w:rPr>
        <w:t>Appointment:</w:t>
      </w:r>
      <w:r>
        <w:rPr>
          <w:b/>
          <w:spacing w:val="-10"/>
        </w:rPr>
        <w:t xml:space="preserve"> </w:t>
      </w:r>
      <w:r>
        <w:t>The</w:t>
      </w:r>
      <w:r>
        <w:rPr>
          <w:spacing w:val="-15"/>
        </w:rPr>
        <w:t xml:space="preserve"> </w:t>
      </w:r>
      <w:r>
        <w:t>Director</w:t>
      </w:r>
      <w:r>
        <w:rPr>
          <w:spacing w:val="-15"/>
        </w:rPr>
        <w:t xml:space="preserve"> </w:t>
      </w:r>
      <w:r>
        <w:t>will</w:t>
      </w:r>
      <w:r>
        <w:rPr>
          <w:spacing w:val="-15"/>
        </w:rPr>
        <w:t xml:space="preserve"> </w:t>
      </w:r>
      <w:r>
        <w:t>hold</w:t>
      </w:r>
      <w:r>
        <w:rPr>
          <w:spacing w:val="-15"/>
        </w:rPr>
        <w:t xml:space="preserve"> </w:t>
      </w:r>
      <w:r>
        <w:t>the</w:t>
      </w:r>
      <w:r>
        <w:rPr>
          <w:spacing w:val="-15"/>
        </w:rPr>
        <w:t xml:space="preserve"> </w:t>
      </w:r>
      <w:r>
        <w:t>office</w:t>
      </w:r>
      <w:r>
        <w:rPr>
          <w:spacing w:val="-15"/>
        </w:rPr>
        <w:t xml:space="preserve"> </w:t>
      </w:r>
      <w:r>
        <w:t>for</w:t>
      </w:r>
      <w:r>
        <w:rPr>
          <w:spacing w:val="-15"/>
        </w:rPr>
        <w:t xml:space="preserve"> </w:t>
      </w:r>
      <w:r>
        <w:t>a</w:t>
      </w:r>
      <w:r>
        <w:rPr>
          <w:spacing w:val="-15"/>
        </w:rPr>
        <w:t xml:space="preserve"> </w:t>
      </w:r>
      <w:r>
        <w:t>term</w:t>
      </w:r>
      <w:r>
        <w:rPr>
          <w:spacing w:val="-15"/>
        </w:rPr>
        <w:t xml:space="preserve"> </w:t>
      </w:r>
      <w:r>
        <w:t>of</w:t>
      </w:r>
      <w:r>
        <w:rPr>
          <w:spacing w:val="-15"/>
        </w:rPr>
        <w:t xml:space="preserve"> </w:t>
      </w:r>
      <w:r>
        <w:t>five</w:t>
      </w:r>
      <w:r>
        <w:rPr>
          <w:spacing w:val="-14"/>
        </w:rPr>
        <w:t xml:space="preserve"> </w:t>
      </w:r>
      <w:r>
        <w:t>years.</w:t>
      </w:r>
      <w:r>
        <w:rPr>
          <w:spacing w:val="-15"/>
        </w:rPr>
        <w:t xml:space="preserve"> </w:t>
      </w:r>
      <w:r>
        <w:t>The</w:t>
      </w:r>
      <w:r>
        <w:rPr>
          <w:spacing w:val="-15"/>
        </w:rPr>
        <w:t xml:space="preserve"> </w:t>
      </w:r>
      <w:r>
        <w:t xml:space="preserve">President </w:t>
      </w:r>
      <w:r>
        <w:rPr>
          <w:spacing w:val="-4"/>
        </w:rPr>
        <w:t>in</w:t>
      </w:r>
      <w:r>
        <w:rPr>
          <w:spacing w:val="-11"/>
        </w:rPr>
        <w:t xml:space="preserve"> </w:t>
      </w:r>
      <w:r>
        <w:rPr>
          <w:spacing w:val="-4"/>
        </w:rPr>
        <w:t>consultation</w:t>
      </w:r>
      <w:r>
        <w:rPr>
          <w:spacing w:val="-11"/>
        </w:rPr>
        <w:t xml:space="preserve"> </w:t>
      </w:r>
      <w:r>
        <w:rPr>
          <w:spacing w:val="-4"/>
        </w:rPr>
        <w:t>with</w:t>
      </w:r>
      <w:r>
        <w:rPr>
          <w:spacing w:val="-11"/>
        </w:rPr>
        <w:t xml:space="preserve"> </w:t>
      </w:r>
      <w:r>
        <w:rPr>
          <w:spacing w:val="-4"/>
        </w:rPr>
        <w:t>the</w:t>
      </w:r>
      <w:r>
        <w:rPr>
          <w:spacing w:val="-11"/>
        </w:rPr>
        <w:t xml:space="preserve"> </w:t>
      </w:r>
      <w:r>
        <w:rPr>
          <w:spacing w:val="-4"/>
        </w:rPr>
        <w:t>Governing</w:t>
      </w:r>
      <w:r>
        <w:rPr>
          <w:spacing w:val="-11"/>
        </w:rPr>
        <w:t xml:space="preserve"> </w:t>
      </w:r>
      <w:r>
        <w:rPr>
          <w:spacing w:val="-4"/>
        </w:rPr>
        <w:t>Body</w:t>
      </w:r>
      <w:r>
        <w:rPr>
          <w:spacing w:val="-11"/>
        </w:rPr>
        <w:t xml:space="preserve"> </w:t>
      </w:r>
      <w:r>
        <w:rPr>
          <w:spacing w:val="-4"/>
        </w:rPr>
        <w:t>may</w:t>
      </w:r>
      <w:r>
        <w:rPr>
          <w:spacing w:val="-11"/>
        </w:rPr>
        <w:t xml:space="preserve"> </w:t>
      </w:r>
      <w:r>
        <w:rPr>
          <w:spacing w:val="-4"/>
        </w:rPr>
        <w:t>extend</w:t>
      </w:r>
      <w:r>
        <w:rPr>
          <w:spacing w:val="-11"/>
        </w:rPr>
        <w:t xml:space="preserve"> </w:t>
      </w:r>
      <w:r>
        <w:rPr>
          <w:spacing w:val="-4"/>
        </w:rPr>
        <w:t>the</w:t>
      </w:r>
      <w:r>
        <w:rPr>
          <w:spacing w:val="-11"/>
        </w:rPr>
        <w:t xml:space="preserve"> </w:t>
      </w:r>
      <w:r>
        <w:rPr>
          <w:spacing w:val="-4"/>
        </w:rPr>
        <w:t>appointment</w:t>
      </w:r>
      <w:r>
        <w:rPr>
          <w:spacing w:val="-11"/>
        </w:rPr>
        <w:t xml:space="preserve"> </w:t>
      </w:r>
      <w:r>
        <w:rPr>
          <w:spacing w:val="-4"/>
        </w:rPr>
        <w:t>of</w:t>
      </w:r>
      <w:r>
        <w:rPr>
          <w:spacing w:val="-11"/>
        </w:rPr>
        <w:t xml:space="preserve"> </w:t>
      </w:r>
      <w:r>
        <w:rPr>
          <w:spacing w:val="-4"/>
        </w:rPr>
        <w:t>the</w:t>
      </w:r>
      <w:r>
        <w:rPr>
          <w:spacing w:val="-11"/>
        </w:rPr>
        <w:t xml:space="preserve"> </w:t>
      </w:r>
      <w:r>
        <w:rPr>
          <w:spacing w:val="-4"/>
        </w:rPr>
        <w:t>Director</w:t>
      </w:r>
      <w:r>
        <w:rPr>
          <w:spacing w:val="-11"/>
        </w:rPr>
        <w:t xml:space="preserve"> </w:t>
      </w:r>
      <w:r>
        <w:rPr>
          <w:spacing w:val="-4"/>
        </w:rPr>
        <w:t>for</w:t>
      </w:r>
      <w:r>
        <w:rPr>
          <w:spacing w:val="-11"/>
        </w:rPr>
        <w:t xml:space="preserve"> </w:t>
      </w:r>
      <w:r>
        <w:rPr>
          <w:spacing w:val="-4"/>
        </w:rPr>
        <w:t>one</w:t>
      </w:r>
      <w:r>
        <w:rPr>
          <w:spacing w:val="-11"/>
        </w:rPr>
        <w:t xml:space="preserve"> </w:t>
      </w:r>
      <w:r>
        <w:rPr>
          <w:spacing w:val="-4"/>
        </w:rPr>
        <w:t xml:space="preserve">more </w:t>
      </w:r>
      <w:r>
        <w:t>term. The age of retirement for the Director is 65 years.</w:t>
      </w:r>
    </w:p>
    <w:p w14:paraId="66DCC099">
      <w:pPr>
        <w:pStyle w:val="5"/>
        <w:ind w:left="0"/>
      </w:pPr>
    </w:p>
    <w:p w14:paraId="3DD5A70B">
      <w:pPr>
        <w:pStyle w:val="5"/>
        <w:jc w:val="both"/>
      </w:pPr>
      <w:r>
        <w:rPr>
          <w:b/>
        </w:rPr>
        <w:t>Pay</w:t>
      </w:r>
      <w:r>
        <w:rPr>
          <w:b/>
          <w:spacing w:val="-1"/>
        </w:rPr>
        <w:t xml:space="preserve"> </w:t>
      </w:r>
      <w:r>
        <w:rPr>
          <w:b/>
        </w:rPr>
        <w:t>Scale</w:t>
      </w:r>
      <w:r>
        <w:t>: Rs.37400-67000 + AGP</w:t>
      </w:r>
      <w:r>
        <w:rPr>
          <w:spacing w:val="-2"/>
        </w:rPr>
        <w:t xml:space="preserve"> </w:t>
      </w:r>
      <w:r>
        <w:t>Rs.10,000/- plus admissible</w:t>
      </w:r>
      <w:r>
        <w:rPr>
          <w:spacing w:val="1"/>
        </w:rPr>
        <w:t xml:space="preserve"> </w:t>
      </w:r>
      <w:r>
        <w:rPr>
          <w:spacing w:val="-2"/>
        </w:rPr>
        <w:t>allowances.</w:t>
      </w:r>
    </w:p>
    <w:p w14:paraId="48761555">
      <w:pPr>
        <w:pStyle w:val="5"/>
        <w:ind w:left="0"/>
      </w:pPr>
    </w:p>
    <w:p w14:paraId="751D2A87">
      <w:pPr>
        <w:pStyle w:val="5"/>
        <w:ind w:right="20"/>
        <w:jc w:val="both"/>
      </w:pPr>
      <w:r>
        <w:rPr>
          <w:b/>
        </w:rPr>
        <w:t>Selection Process</w:t>
      </w:r>
      <w:r>
        <w:t>: The Search-cum-Selection Committee constituted by the President of the Institute</w:t>
      </w:r>
      <w:r>
        <w:rPr>
          <w:spacing w:val="-2"/>
        </w:rPr>
        <w:t xml:space="preserve"> </w:t>
      </w:r>
      <w:r>
        <w:t>will consider the applications fulfilling the above criteria, received in response to the advertisement as well as nominations (with full bio-data) received from eminent scholars. Please note the Search-cum-Selection Committee reserves the right to invite eminent persons other than those who have applied or have been nominated. It also reserves the right to reject any</w:t>
      </w:r>
      <w:r>
        <w:rPr>
          <w:spacing w:val="-15"/>
        </w:rPr>
        <w:t xml:space="preserve"> </w:t>
      </w:r>
      <w:r>
        <w:t>application</w:t>
      </w:r>
      <w:r>
        <w:rPr>
          <w:spacing w:val="-15"/>
        </w:rPr>
        <w:t xml:space="preserve"> </w:t>
      </w:r>
      <w:r>
        <w:t>without</w:t>
      </w:r>
      <w:r>
        <w:rPr>
          <w:spacing w:val="-15"/>
        </w:rPr>
        <w:t xml:space="preserve"> </w:t>
      </w:r>
      <w:r>
        <w:t>assigning</w:t>
      </w:r>
      <w:r>
        <w:rPr>
          <w:spacing w:val="-15"/>
        </w:rPr>
        <w:t xml:space="preserve"> </w:t>
      </w:r>
      <w:r>
        <w:t>any</w:t>
      </w:r>
      <w:r>
        <w:rPr>
          <w:spacing w:val="-15"/>
        </w:rPr>
        <w:t xml:space="preserve"> </w:t>
      </w:r>
      <w:r>
        <w:t>reason</w:t>
      </w:r>
      <w:r>
        <w:rPr>
          <w:spacing w:val="-15"/>
        </w:rPr>
        <w:t xml:space="preserve"> </w:t>
      </w:r>
      <w:r>
        <w:t>thereof.</w:t>
      </w:r>
      <w:r>
        <w:rPr>
          <w:spacing w:val="-14"/>
        </w:rPr>
        <w:t xml:space="preserve"> </w:t>
      </w:r>
      <w:r>
        <w:t>Offline</w:t>
      </w:r>
      <w:r>
        <w:rPr>
          <w:spacing w:val="-12"/>
        </w:rPr>
        <w:t xml:space="preserve"> </w:t>
      </w:r>
      <w:r>
        <w:t>or</w:t>
      </w:r>
      <w:r>
        <w:rPr>
          <w:spacing w:val="-14"/>
        </w:rPr>
        <w:t xml:space="preserve"> </w:t>
      </w:r>
      <w:r>
        <w:t>online</w:t>
      </w:r>
      <w:r>
        <w:rPr>
          <w:spacing w:val="-14"/>
        </w:rPr>
        <w:t xml:space="preserve"> </w:t>
      </w:r>
      <w:r>
        <w:t>personal</w:t>
      </w:r>
      <w:r>
        <w:rPr>
          <w:spacing w:val="-14"/>
        </w:rPr>
        <w:t xml:space="preserve"> </w:t>
      </w:r>
      <w:r>
        <w:t>interviews</w:t>
      </w:r>
      <w:r>
        <w:rPr>
          <w:spacing w:val="-15"/>
        </w:rPr>
        <w:t xml:space="preserve"> </w:t>
      </w:r>
      <w:r>
        <w:t>will be held with the shortlisted candid</w:t>
      </w:r>
      <w:r>
        <w:rPr>
          <w:highlight w:val="none"/>
        </w:rPr>
        <w:t>ates.</w:t>
      </w:r>
    </w:p>
    <w:p w14:paraId="7AF57646">
      <w:pPr>
        <w:pStyle w:val="5"/>
        <w:ind w:left="0"/>
      </w:pPr>
    </w:p>
    <w:p w14:paraId="35C757BD">
      <w:pPr>
        <w:pStyle w:val="5"/>
        <w:ind w:right="21"/>
        <w:jc w:val="both"/>
      </w:pPr>
      <w:r>
        <w:t>Interested individuals may apply with full bio-data clearly mentioning the research projects undertaken and completed, research and other scholarly publications with proper citation, administrative experience, and teaching experience if any.</w:t>
      </w:r>
    </w:p>
    <w:p w14:paraId="3B7DAE53">
      <w:pPr>
        <w:pStyle w:val="5"/>
        <w:ind w:left="0"/>
      </w:pPr>
    </w:p>
    <w:p w14:paraId="5F9576A0">
      <w:pPr>
        <w:pStyle w:val="5"/>
        <w:ind w:right="18"/>
        <w:jc w:val="both"/>
      </w:pPr>
      <w:r>
        <w:t>Application along with the enclosures may</w:t>
      </w:r>
      <w:r>
        <w:rPr>
          <w:spacing w:val="-1"/>
        </w:rPr>
        <w:t xml:space="preserve"> </w:t>
      </w:r>
      <w:r>
        <w:t>be emailed on</w:t>
      </w:r>
      <w:r>
        <w:rPr>
          <w:highlight w:val="none"/>
        </w:rPr>
        <w:t xml:space="preserve"> </w:t>
      </w:r>
      <w:r>
        <w:rPr>
          <w:highlight w:val="none"/>
        </w:rPr>
        <w:fldChar w:fldCharType="begin"/>
      </w:r>
      <w:r>
        <w:rPr>
          <w:highlight w:val="none"/>
        </w:rPr>
        <w:instrText xml:space="preserve"> HYPERLINK "mailto:hr@gidr.ac.in" \h </w:instrText>
      </w:r>
      <w:r>
        <w:rPr>
          <w:highlight w:val="none"/>
        </w:rPr>
        <w:fldChar w:fldCharType="separate"/>
      </w:r>
      <w:r>
        <w:rPr>
          <w:highlight w:val="none"/>
          <w:u w:val="single"/>
        </w:rPr>
        <w:t>hr@gidr.ac.in</w:t>
      </w:r>
      <w:r>
        <w:rPr>
          <w:highlight w:val="none"/>
          <w:u w:val="single"/>
        </w:rPr>
        <w:fldChar w:fldCharType="end"/>
      </w:r>
      <w:r>
        <w:t xml:space="preserve"> and a hard copy</w:t>
      </w:r>
      <w:r>
        <w:rPr>
          <w:spacing w:val="-1"/>
        </w:rPr>
        <w:t xml:space="preserve"> </w:t>
      </w:r>
      <w:r>
        <w:t xml:space="preserve">may be sent marked as </w:t>
      </w:r>
      <w:r>
        <w:rPr>
          <w:b/>
        </w:rPr>
        <w:t xml:space="preserve">“Confidential” </w:t>
      </w:r>
      <w:r>
        <w:t xml:space="preserve">at the following address on or before </w:t>
      </w:r>
      <w:r>
        <w:rPr>
          <w:b/>
          <w:highlight w:val="none"/>
        </w:rPr>
        <w:t>10 JULY 2025</w:t>
      </w:r>
      <w:r>
        <w:rPr>
          <w:highlight w:val="none"/>
        </w:rPr>
        <w:t>.</w:t>
      </w:r>
    </w:p>
    <w:p w14:paraId="03F4B51D">
      <w:pPr>
        <w:pStyle w:val="5"/>
        <w:ind w:left="0"/>
      </w:pPr>
    </w:p>
    <w:p w14:paraId="315021BD">
      <w:pPr>
        <w:pStyle w:val="5"/>
        <w:jc w:val="both"/>
        <w:rPr>
          <w:rFonts w:hint="default"/>
          <w:lang w:val="en-US"/>
        </w:rPr>
      </w:pPr>
      <w:r>
        <w:rPr>
          <w:rFonts w:hint="default"/>
          <w:lang w:val="en-US"/>
        </w:rPr>
        <w:t xml:space="preserve">The President </w:t>
      </w:r>
    </w:p>
    <w:p w14:paraId="5DD4DCF8">
      <w:pPr>
        <w:pStyle w:val="5"/>
        <w:jc w:val="both"/>
      </w:pPr>
      <w:r>
        <w:t>Gujarat</w:t>
      </w:r>
      <w:r>
        <w:rPr>
          <w:spacing w:val="-1"/>
        </w:rPr>
        <w:t xml:space="preserve"> </w:t>
      </w:r>
      <w:r>
        <w:t>Institute</w:t>
      </w:r>
      <w:r>
        <w:rPr>
          <w:spacing w:val="-3"/>
        </w:rPr>
        <w:t xml:space="preserve"> </w:t>
      </w:r>
      <w:r>
        <w:t>of</w:t>
      </w:r>
      <w:r>
        <w:rPr>
          <w:spacing w:val="-2"/>
        </w:rPr>
        <w:t xml:space="preserve"> </w:t>
      </w:r>
      <w:r>
        <w:t xml:space="preserve">Development </w:t>
      </w:r>
      <w:r>
        <w:rPr>
          <w:spacing w:val="-2"/>
        </w:rPr>
        <w:t xml:space="preserve">Research </w:t>
      </w:r>
    </w:p>
    <w:p w14:paraId="4A2E0237">
      <w:pPr>
        <w:pStyle w:val="5"/>
        <w:ind w:right="3669"/>
      </w:pPr>
      <w:r>
        <w:t>Near</w:t>
      </w:r>
      <w:r>
        <w:rPr>
          <w:spacing w:val="-7"/>
        </w:rPr>
        <w:t xml:space="preserve"> </w:t>
      </w:r>
      <w:r>
        <w:t>Gota</w:t>
      </w:r>
      <w:r>
        <w:rPr>
          <w:spacing w:val="-8"/>
        </w:rPr>
        <w:t xml:space="preserve"> </w:t>
      </w:r>
      <w:r>
        <w:t>Flyover,</w:t>
      </w:r>
      <w:r>
        <w:rPr>
          <w:spacing w:val="-8"/>
        </w:rPr>
        <w:t xml:space="preserve"> </w:t>
      </w:r>
      <w:r>
        <w:t>Sarkhej-Gandhinagar</w:t>
      </w:r>
      <w:r>
        <w:rPr>
          <w:spacing w:val="-12"/>
        </w:rPr>
        <w:t xml:space="preserve"> </w:t>
      </w:r>
      <w:r>
        <w:t>Highway Gota, Ahmedabad 380060</w:t>
      </w:r>
    </w:p>
    <w:p w14:paraId="6217D5F0">
      <w:pPr>
        <w:pStyle w:val="5"/>
        <w:ind w:left="0"/>
      </w:pPr>
    </w:p>
    <w:p w14:paraId="47774FD9">
      <w:pPr>
        <w:pStyle w:val="5"/>
        <w:rPr>
          <w:spacing w:val="-2"/>
        </w:rPr>
      </w:pPr>
      <w:r>
        <w:t>Please</w:t>
      </w:r>
      <w:r>
        <w:rPr>
          <w:spacing w:val="-1"/>
        </w:rPr>
        <w:t xml:space="preserve"> </w:t>
      </w:r>
      <w:r>
        <w:t>download</w:t>
      </w:r>
      <w:r>
        <w:rPr>
          <w:spacing w:val="-4"/>
        </w:rPr>
        <w:t xml:space="preserve"> </w:t>
      </w:r>
      <w:r>
        <w:t>the</w:t>
      </w:r>
      <w:r>
        <w:rPr>
          <w:spacing w:val="-3"/>
        </w:rPr>
        <w:t xml:space="preserve"> </w:t>
      </w:r>
      <w:r>
        <w:t>application</w:t>
      </w:r>
      <w:r>
        <w:rPr>
          <w:spacing w:val="-1"/>
        </w:rPr>
        <w:t xml:space="preserve"> </w:t>
      </w:r>
      <w:r>
        <w:t>form from</w:t>
      </w:r>
      <w:r>
        <w:rPr>
          <w:spacing w:val="-1"/>
        </w:rPr>
        <w:t xml:space="preserve"> </w:t>
      </w:r>
      <w:r>
        <w:t>GIDR</w:t>
      </w:r>
      <w:r>
        <w:rPr>
          <w:spacing w:val="2"/>
        </w:rPr>
        <w:t xml:space="preserve"> </w:t>
      </w:r>
      <w:r>
        <w:rPr>
          <w:spacing w:val="-2"/>
        </w:rPr>
        <w:t>website.</w:t>
      </w:r>
    </w:p>
    <w:p w14:paraId="473F14BE">
      <w:pPr>
        <w:pStyle w:val="5"/>
      </w:pPr>
      <w:bookmarkStart w:id="0" w:name="_GoBack"/>
      <w:bookmarkEnd w:id="0"/>
    </w:p>
    <w:sectPr>
      <w:type w:val="continuous"/>
      <w:pgSz w:w="11910" w:h="16840"/>
      <w:pgMar w:top="1360" w:right="1417" w:bottom="280"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hruti">
    <w:altName w:val="Segoe UI Symbol"/>
    <w:panose1 w:val="020B0502040204020203"/>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4B"/>
    <w:rsid w:val="00241136"/>
    <w:rsid w:val="0083731A"/>
    <w:rsid w:val="00AC114B"/>
    <w:rsid w:val="249555F5"/>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rFonts w:ascii="Segoe UI" w:hAnsi="Segoe UI" w:cs="Segoe UI"/>
      <w:sz w:val="18"/>
      <w:szCs w:val="18"/>
    </w:rPr>
  </w:style>
  <w:style w:type="paragraph" w:styleId="5">
    <w:name w:val="Body Text"/>
    <w:basedOn w:val="1"/>
    <w:qFormat/>
    <w:uiPriority w:val="1"/>
    <w:pPr>
      <w:ind w:left="23"/>
    </w:pPr>
    <w:rPr>
      <w:sz w:val="24"/>
      <w:szCs w:val="24"/>
    </w:rPr>
  </w:style>
  <w:style w:type="character" w:styleId="6">
    <w:name w:val="annotation reference"/>
    <w:basedOn w:val="2"/>
    <w:semiHidden/>
    <w:unhideWhenUsed/>
    <w:uiPriority w:val="99"/>
    <w:rPr>
      <w:sz w:val="16"/>
      <w:szCs w:val="16"/>
    </w:rPr>
  </w:style>
  <w:style w:type="paragraph" w:styleId="7">
    <w:name w:val="annotation text"/>
    <w:basedOn w:val="1"/>
    <w:link w:val="12"/>
    <w:semiHidden/>
    <w:unhideWhenUsed/>
    <w:uiPriority w:val="99"/>
    <w:rPr>
      <w:sz w:val="20"/>
      <w:szCs w:val="20"/>
    </w:rPr>
  </w:style>
  <w:style w:type="paragraph" w:styleId="8">
    <w:name w:val="annotation subject"/>
    <w:basedOn w:val="7"/>
    <w:next w:val="7"/>
    <w:link w:val="13"/>
    <w:semiHidden/>
    <w:unhideWhenUsed/>
    <w:uiPriority w:val="99"/>
    <w:rPr>
      <w:b/>
      <w:bCs/>
    </w:rPr>
  </w:style>
  <w:style w:type="paragraph" w:styleId="9">
    <w:name w:val="Title"/>
    <w:basedOn w:val="1"/>
    <w:qFormat/>
    <w:uiPriority w:val="1"/>
    <w:pPr>
      <w:spacing w:before="63"/>
      <w:ind w:left="1"/>
      <w:jc w:val="center"/>
    </w:pPr>
    <w:rPr>
      <w:b/>
      <w:bCs/>
      <w:sz w:val="24"/>
      <w:szCs w:val="24"/>
    </w:r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Comment Text Char"/>
    <w:basedOn w:val="2"/>
    <w:link w:val="7"/>
    <w:semiHidden/>
    <w:uiPriority w:val="99"/>
    <w:rPr>
      <w:rFonts w:ascii="Times New Roman" w:hAnsi="Times New Roman" w:eastAsia="Times New Roman" w:cs="Times New Roman"/>
      <w:sz w:val="20"/>
      <w:szCs w:val="20"/>
    </w:rPr>
  </w:style>
  <w:style w:type="character" w:customStyle="1" w:styleId="13">
    <w:name w:val="Comment Subject Char"/>
    <w:basedOn w:val="12"/>
    <w:link w:val="8"/>
    <w:semiHidden/>
    <w:uiPriority w:val="99"/>
    <w:rPr>
      <w:rFonts w:ascii="Times New Roman" w:hAnsi="Times New Roman" w:eastAsia="Times New Roman" w:cs="Times New Roman"/>
      <w:b/>
      <w:bCs/>
      <w:sz w:val="20"/>
      <w:szCs w:val="20"/>
    </w:rPr>
  </w:style>
  <w:style w:type="character" w:customStyle="1" w:styleId="14">
    <w:name w:val="Balloon Text Char"/>
    <w:basedOn w:val="2"/>
    <w:link w:val="4"/>
    <w:semiHidden/>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431</Words>
  <Characters>2458</Characters>
  <Lines>20</Lines>
  <Paragraphs>5</Paragraphs>
  <TotalTime>2</TotalTime>
  <ScaleCrop>false</ScaleCrop>
  <LinksUpToDate>false</LinksUpToDate>
  <CharactersWithSpaces>2884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2025-06-23T08:38:00Z</dcterms:created>
  <dc:creator>prajeevan</dc:creator>
  <cp:lastModifiedBy>Nisha Paney</cp:lastModifiedBy>
  <dcterms:modified xsi:type="dcterms:W3CDTF">2025-06-23T11:41:42Z</dcterms:modified>
  <dc:title>Microsoft Word - GIDR Advt. for Website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LastSaved">
    <vt:filetime>2025-06-23T00:00:00Z</vt:filetime>
  </property>
  <property fmtid="{D5CDD505-2E9C-101B-9397-08002B2CF9AE}" pid="4" name="Producer">
    <vt:lpwstr>Microsoft: Print To PDF</vt:lpwstr>
  </property>
  <property fmtid="{D5CDD505-2E9C-101B-9397-08002B2CF9AE}" pid="5" name="KSOProductBuildVer">
    <vt:lpwstr>1033-12.2.0.21546</vt:lpwstr>
  </property>
  <property fmtid="{D5CDD505-2E9C-101B-9397-08002B2CF9AE}" pid="6" name="ICV">
    <vt:lpwstr>6D5A8A9CCD1C4E49AA5FC0CF51AC4009_13</vt:lpwstr>
  </property>
</Properties>
</file>